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7B" w:rsidRDefault="008C1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147B" w:rsidRDefault="008C147B">
      <w:pPr>
        <w:pStyle w:val="ConsPlusNormal"/>
        <w:jc w:val="both"/>
        <w:outlineLvl w:val="0"/>
      </w:pPr>
    </w:p>
    <w:p w:rsidR="008C147B" w:rsidRDefault="008C147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C147B" w:rsidRDefault="008C147B">
      <w:pPr>
        <w:pStyle w:val="ConsPlusTitle"/>
        <w:jc w:val="center"/>
      </w:pPr>
    </w:p>
    <w:p w:rsidR="008C147B" w:rsidRDefault="008C147B">
      <w:pPr>
        <w:pStyle w:val="ConsPlusTitle"/>
        <w:jc w:val="center"/>
      </w:pPr>
      <w:r>
        <w:t>ПИСЬМО</w:t>
      </w:r>
    </w:p>
    <w:p w:rsidR="008C147B" w:rsidRDefault="008C147B">
      <w:pPr>
        <w:pStyle w:val="ConsPlusTitle"/>
        <w:jc w:val="center"/>
      </w:pPr>
      <w:r>
        <w:t>от 22 июня 2017 г. N 12-3/10/П-3963</w:t>
      </w: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во исполнение пункта 5 протокола заседания Совета при Правительстве Российской Федерации по вопросам попечительства в социальной сфере от 6 июня 2016 г. N 4 направляются для использования в работе доработанные с учетом предложений федеральных органов государственной власти и органов исполнительной власти субъектов Российской Федерации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по обеспечению преемственности и непрерывности предоставления социальных услуг, мероприятий по социальному сопровождению, медицинской помощи, образовательных и иных услуг в стационарных организациях социального обслуживания.</w:t>
      </w: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right"/>
      </w:pPr>
      <w:r>
        <w:t>Первый заместитель Министра</w:t>
      </w:r>
    </w:p>
    <w:p w:rsidR="008C147B" w:rsidRDefault="008C147B">
      <w:pPr>
        <w:pStyle w:val="ConsPlusNormal"/>
        <w:jc w:val="right"/>
      </w:pPr>
      <w:r>
        <w:t>труда и социальной защиты</w:t>
      </w:r>
    </w:p>
    <w:p w:rsidR="008C147B" w:rsidRDefault="008C147B">
      <w:pPr>
        <w:pStyle w:val="ConsPlusNormal"/>
        <w:jc w:val="right"/>
      </w:pPr>
      <w:r>
        <w:t>Российской Федерации</w:t>
      </w:r>
    </w:p>
    <w:p w:rsidR="008C147B" w:rsidRDefault="008C147B">
      <w:pPr>
        <w:pStyle w:val="ConsPlusNormal"/>
        <w:jc w:val="right"/>
      </w:pPr>
      <w:r>
        <w:t>А.В.ВОВЧЕНКО</w:t>
      </w: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Title"/>
        <w:jc w:val="center"/>
        <w:outlineLvl w:val="0"/>
      </w:pPr>
      <w:bookmarkStart w:id="0" w:name="P17"/>
      <w:bookmarkEnd w:id="0"/>
      <w:r>
        <w:t>МЕТОДИЧЕСКИЕ РЕКОМЕНДАЦИИ</w:t>
      </w:r>
    </w:p>
    <w:p w:rsidR="008C147B" w:rsidRDefault="008C147B">
      <w:pPr>
        <w:pStyle w:val="ConsPlusTitle"/>
        <w:jc w:val="center"/>
      </w:pPr>
      <w:r>
        <w:t>ПО ОБЕСПЕЧЕНИЮ ПРЕЕМСТВЕННОСТИ И НЕПРЕРЫВНОСТИ</w:t>
      </w:r>
    </w:p>
    <w:p w:rsidR="008C147B" w:rsidRDefault="008C147B">
      <w:pPr>
        <w:pStyle w:val="ConsPlusTitle"/>
        <w:jc w:val="center"/>
      </w:pPr>
      <w:r>
        <w:t>ПРЕДОСТАВЛЕНИЯ СОЦИАЛЬНЫХ УСЛУГ, МЕРОПРИЯТИЙ ПО СОЦИАЛЬНОМУ</w:t>
      </w:r>
    </w:p>
    <w:p w:rsidR="008C147B" w:rsidRDefault="008C147B">
      <w:pPr>
        <w:pStyle w:val="ConsPlusTitle"/>
        <w:jc w:val="center"/>
      </w:pPr>
      <w:r>
        <w:t>СОПРОВОЖДЕНИЮ, МЕДИЦИНСКОЙ ПОМОЩИ, ОБРАЗОВАТЕЛЬНЫХ И ИНЫХ</w:t>
      </w:r>
    </w:p>
    <w:p w:rsidR="008C147B" w:rsidRDefault="008C147B">
      <w:pPr>
        <w:pStyle w:val="ConsPlusTitle"/>
        <w:jc w:val="center"/>
      </w:pPr>
      <w:r>
        <w:t>УСЛУГ В СТАЦИОНАРНЫХ ОРГАНИЗАЦИЯХ СОЦИАЛЬНОГО ОБСЛУЖИВАНИЯ</w:t>
      </w: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ind w:firstLine="540"/>
        <w:jc w:val="both"/>
      </w:pPr>
      <w:r>
        <w:t>1. Рекомендации по обеспечению преемственности и непрерывности предоставления социальных услуг, мероприятий по социальному сопровождению, медицинской помощи, образовательных и иных услуг в стационарных организациях социального обслуживания разработаны в целях оказания методической помощи органам исполнительной власти субъектов Российской Федерации в решении вопросов, возникающих при переходе получателей социальных услуг из стационарных организаций социального обслуживания, предназначенных для детей-инвалидов (далее - детские стационарные организации), в стационарные организации социального обслуживания, предназначенные для инвалидов старше 18 лет (далее - стационарные организации для взрослых).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2. Социальное обслуживание и проведение мероприятий по социальному сопровождению в стационарных организациях социального обслуживания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(далее - Федеральный закон от 28 декабря 2013 г. N 442-ФЗ) и принятыми в соответствии с ним нормативными правовыми актами.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3. Предоставление социальных услуг в форме социального обслуживания на дому и в полустационарной форме социального обслуживания (дневной стационар и другие формы), в том числе с применением стационарозамещающих технологий, должно являться приоритетной формой социального обслуживания.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Стационарное социальное обслуживание несовершеннолетних граждан должно носить </w:t>
      </w:r>
      <w:r>
        <w:lastRenderedPageBreak/>
        <w:t>временный характер, служить сохранению, укреплению и развитию семейных связей, способствовать возвращению и нахождению детей в кровных семьях максимально длительные периоды времени, содействовать передаче их на воспитание в замещающие семьи. С семьями необходимо работать по устранению обстоятельств, послуживших основаниями для признания несовершеннолетних граждан нуждающимися в стационарном социальном обслуживании.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В отношении лиц старше 18 лет также следует предпринимать меры по восстановлению утраченных семейных связей или по семейному устройству.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г. N 442-ФЗ получателям социальных услуг должны составляться индивидуальные программы предоставления социальных услуг (далее - ИППСУ). Уполномоченным органам субъекта Российской Федерации на составление ИППСУ при составлении ИППСУ лицам старше 18 лет, подлежащим переводу в стационарные организации для взрослых из детских стационарных организаций, рекомендуется учитывать итоги реализации, виды, объем, периодичность, условия, сроки предоставления социальных услуг, указанные в ИППСУ, составленной в период их пребывания в детской стационарной организации.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До составления лицам старше 18 лет ИППСУ на период их пребывания в стационарной организации для взрослых сохраняет свое действие в полном объеме ИППСУ, составленная в период их пребывания в детской стационарной организации.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5. Организация получения дошкольного, общего, профессионального и дополнительного образования, профессионального обучения лицами, проживающими в детских стационарных организациях и стационарных организациях для взрослых,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от 29 декабря 2012 г. N 273-ФЗ) и принятыми в соответствии с ним нормативными правовыми актами.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6. Содержание образования и условия организации обучения и воспитания лиц с ограниченными возможностями здоровья определяется в соответствии с индивидуальной программой реабилитации или абилитации инвалида (далее - ИПРА) и рекомендации психолого-медико-педагогической комиссии (далее - ПМПК).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7. Обеспечение условий для содержания, воспитания и образования детей-сирот и детей, оставшихся без попечения родителей, соответствующих их состоянию здоровья и потребностям, в детских стационарных организациях социального обслуживания, осуществляется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(далее - постановление Правительства Российской Федерации от 24 мая 2014 г. N 481).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8. Кроме того, в детских стационарных организациях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2014 г. N 481 рекомендуется проводить мероприятия с целью возврата детей в родную семью или устройства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числе,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9. В детских стационарных организациях рекомендуется осуществлять мероприятия по социально-трудовой реабилитации (абилитации) детей с целью обучения, восстановления или компенсации утраченных или нарушенных способностей к бытовой, социальной и профессиональной деятельности и интеграции в общество с целью подготовки их к самостоятельной жизни, по организации физического воспитания детей с учетом возраста и </w:t>
      </w:r>
      <w:r>
        <w:lastRenderedPageBreak/>
        <w:t>состояния здоровья, позволяющего развить их способности в пределах максимальных возможностей, а также подготовке детей к усыновлению (удочерению) и передаче под опеку (попечительство).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10. В стационарных организациях для взрослых рекомендуется продолжить проведение обучающих занятий по формированию навыков самообслуживания (осуществление гигиенических процедур, принятие пищи, уход за одеждой и обувью и т.д.), навыков, необходимых для самостоятельной жизни (приготовление пищи, покупка продуктов и товаров, пользование общественным транспортом, использование банковских карточек и т.д.), обучению пользования техническими средствами реабилитации (при необходимости) и навыкам социально-средового взаимодействия и коммуникации (пользование мобильными телефонами, интернетом и др.), а также мероприятий по адаптации лиц старше 18 лет к самостоятельной жизни.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11. В детских стационарных организациях рекомендуется создать условия для обеспечения возможности получения детьми образования в образовательных организациях вне детских стационарных организаций, а также осуществлять мероприятия по включению детей в систему досуговой (культурной, спортивной и др.) деятельности, программы дополнительного образования, коррекционно-развивающую работу по формированию жизненных компетенций.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При организации образовательных мероприятий, досуговой деятельности, коррекционно-развивающей работы и социально-трудовой занятости в детских стационарных организациях рекомендуется учитывать ИПРА и рекомендации ПМПК.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12. В стационарных организациях для взрослых рекомендуется создать условия для обеспечения возможности дальнейшего получения лицами старше 18 лет, поступившими из детских стационарных организаций, образования в образовательных организациях вне данных стационарных организаций, а также осуществлять мероприятия по включению указанных лиц в систему досуговой (культурной, спортивной и др.) деятельности, программы дополнительного образования, работу по развитию жизненных компетенций.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При организации образовательных мероприятий, социально-трудовой занятости, досуговой деятельности, работы по развитию жизненных компетенций в стационарных организациях для взрослых рекомендуется учитывать ИПРА, рекомендации ПМПК, а также разработанные в детских стационарных организациях индивидуальные образовательные маршруты и способы их реализации.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13. В целях обеспечения возможности продолжения выпускниками детских стационарных организаций образования в соответствии с ИПРА и рекомендациями ПМПК, в том числе в образовательных организациях, где ребенок обучался в период нахождения в детской стационарной организации социального обслуживания, рекомендуется организовать межведомственное взаимодействие образовательных организаций и стационарных организаций для взрослых.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14. В целях обеспечения преемственности и непрерывности мероприятий по профессиональной ориентации, профессиональному обучению и трудоустройству лиц старше 18 лет с учетом их психофизических возможностей в стационарных организациях для взрослых рекомендуется организовать работу по их информированию и консультированию о возможных профессиях и направлениях подготовки, а также взаимодействие стационарных организаций для взрослых с государственными учреждениями службы занятости населения по вопросам возможного трудоустройства лиц старше 18 лет с учетом их психофизических возможностей.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15. При организации перехода из детских стационарных организаций в стационарные организации для взрослых рекомендуется рассмотреть возможность перевода лиц старше 18 лет с учетом сложившихся у них в детских стационарных организациях отношений, состояния их здоровья, а также обеспечения возможности продолжения обучения в образовательных </w:t>
      </w:r>
      <w:r>
        <w:lastRenderedPageBreak/>
        <w:t>организациях вне стационарных организаций, в которых они обучались в период проживания в детских стационарных организациях, в случае если они не закончили обучение в данной организации.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16. В случае дальнейшего самостоятельного проживания выпускников стационарных организаций, рекомендуется обеспечить предоставление необходимых им социальных услуг в форме социального обслуживания на дому и мероприятий по социальному сопровождению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N 442-ФЗ, в том числе с использованием стационарозамещающих технологий.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17. Медицинская помощь в стационарных организациях социального обслуживания представляется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г. N 323 "Об основах охраны здоровья граждан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 и принятыми в соответствии с ними нормативными правовыми актами.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18. В целях обеспечения преемственности и непрерывности процесса медицинской реабилитации лиц старше 18 лет при их переходе из детских стационарных организаций в стационарные организации для взрослых рекомендуется осуществлять взаимодействие детских стационарных организаций и стационарных организаций для взрослых по продолжению проводимых медицинских мероприятий (лекарственная терапия, физиотерапия, лечебная физкультура, психокоррекционная работа и др.).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19. Признание лиц, проживающих в стационарных организациях социального обслуживания, инвалидами (детьми-инвалидами) и определение мер социальной поддержки и основных направлений реабилитации или абилитации инвалидов (детей-инвалидов)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и принятыми в соответствии с ним нормативными правовыми актами.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20. Реализация жилищных и иных имущественных прав детей-сирот, детей, оставшихся без попечения родителей, а также лиц из их числа, проживающих в стационарных организациях социального обслуживания,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21. При переходе лиц старше 18 лет из детских стационарных организаций (далее - выпускник) в стационарные организации для взрослых рекомендуется организовать передачу: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материалов личного дела выпускника, включая заключение ПМПК, справку, подтверждающую факт установления инвалидности, ИПРА, ИППСУ, а также информацию о личностных особенностях, способностях, предпочтениях, стереотипах поведения и др., об используемых им средствах коммуникации, об уровне понимания значения совершаемых действий и наличии способности нести за них ответственность, о способах выявления их мнения, эффективных приемах взаимодействия;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информации об обучении выпускника по адаптированным основным общеобразовательным программам, дополнительным образовательным программам и рекомендации о дальнейшем образовательном маршруте и способах его реализации;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информации об имеющихся у выпускника жилищных и иных имущественных правах либо их отсутствии, а также рекомендации по дальнейшему их осуществлению;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сведений о близких родственниках выпускника, законных представителях (при наличии);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 xml:space="preserve">- медицинской документации выпускника (переводной эпикриз, подробная выписка из </w:t>
      </w:r>
      <w:r>
        <w:lastRenderedPageBreak/>
        <w:t>медицинской карты), в которой должны быть отражены, в том числе, особенности состояния здоровья выпускника, клиническая картина на момент его перевода в стационарную организацию для взрослых, результаты проведенных анализов и обследований за последний год, информация о проводимом лечении с указанием лекарственных препаратов, их дозировок и кратности приема;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рекомендаций по лечебному питанию, соблюдению режимных моментов и др.;</w:t>
      </w:r>
    </w:p>
    <w:p w:rsidR="008C147B" w:rsidRDefault="008C147B">
      <w:pPr>
        <w:pStyle w:val="ConsPlusNormal"/>
        <w:spacing w:before="220"/>
        <w:ind w:firstLine="540"/>
        <w:jc w:val="both"/>
      </w:pPr>
      <w:r>
        <w:t>- информации о сформированных у выпускника социально-бытовых, социально-трудовых, социокультурных и других навыках, необходимых для самостоятельной жизни, мероприятиях по адаптации получателей социальных услуг к самостоятельной жизни, а также о подготовке к усыновлению (удочерению) и передачи под опеку (попечительство).</w:t>
      </w: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jc w:val="both"/>
      </w:pPr>
    </w:p>
    <w:p w:rsidR="008C147B" w:rsidRDefault="008C1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BB3" w:rsidRDefault="00061BB3">
      <w:bookmarkStart w:id="1" w:name="_GoBack"/>
      <w:bookmarkEnd w:id="1"/>
    </w:p>
    <w:sectPr w:rsidR="00061BB3" w:rsidSect="00E2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B"/>
    <w:rsid w:val="00061BB3"/>
    <w:rsid w:val="008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8D2C-2DAF-4D5C-B21E-D36FE8F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861E1DB47D9D9E99F8B21DA501187A84A361637583D3D66A0BF8A52E08CD45001AC4D8FA34927CB4C703C10mEl8J" TargetMode="External"/><Relationship Id="rId13" Type="http://schemas.openxmlformats.org/officeDocument/2006/relationships/hyperlink" Target="consultantplus://offline/ref=477861E1DB47D9D9E99F8B21DA501187A946321A345D3D3D66A0BF8A52E08CD45001AC4D8FA34927CB4C703C10mEl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7861E1DB47D9D9E99F8B21DA501187A94C3211305B3D3D66A0BF8A52E08CD45001AC4D8FA34927CB4C703C10mEl8J" TargetMode="External"/><Relationship Id="rId12" Type="http://schemas.openxmlformats.org/officeDocument/2006/relationships/hyperlink" Target="consultantplus://offline/ref=477861E1DB47D9D9E99F8B21DA501187A84E311B325D3D3D66A0BF8A52E08CD45001AC4D8FA34927CB4C703C10mEl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861E1DB47D9D9E99F8B21DA501187A84B341337533D3D66A0BF8A52E08CD45001AC4D8FA34927CB4C703C10mEl8J" TargetMode="External"/><Relationship Id="rId11" Type="http://schemas.openxmlformats.org/officeDocument/2006/relationships/hyperlink" Target="consultantplus://offline/ref=477861E1DB47D9D9E99F8B21DA501187A9463716325F3D3D66A0BF8A52E08CD45001AC4D8FA34927CB4C703C10mEl8J" TargetMode="External"/><Relationship Id="rId5" Type="http://schemas.openxmlformats.org/officeDocument/2006/relationships/hyperlink" Target="consultantplus://offline/ref=477861E1DB47D9D9E99F8B21DA501187A84B341337533D3D66A0BF8A52E08CD45001AC4D8FA34927CB4C703C10mEl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7861E1DB47D9D9E99F8B21DA501187A84B341337533D3D66A0BF8A52E08CD45001AC4D8FA34927CB4C703C10mEl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7861E1DB47D9D9E99F8B21DA501187A84A361637583D3D66A0BF8A52E08CD45001AC4D8FA34927CB4C703C10mEl8J" TargetMode="External"/><Relationship Id="rId14" Type="http://schemas.openxmlformats.org/officeDocument/2006/relationships/hyperlink" Target="consultantplus://offline/ref=477861E1DB47D9D9E99F8B21DA501187A84E301436533D3D66A0BF8A52E08CD45001AC4D8FA34927CB4C703C10mE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2020-11-17T09:37:00Z</dcterms:created>
  <dcterms:modified xsi:type="dcterms:W3CDTF">2020-11-17T09:37:00Z</dcterms:modified>
</cp:coreProperties>
</file>